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024" w:rsidRPr="000B7397" w:rsidRDefault="00C05024" w:rsidP="00C05024">
      <w:pPr>
        <w:rPr>
          <w:rFonts w:asciiTheme="majorBidi" w:eastAsia="Times New Roman" w:hAnsiTheme="majorBidi" w:cstheme="majorBidi"/>
          <w:bCs/>
          <w:kern w:val="36"/>
          <w:sz w:val="28"/>
          <w:szCs w:val="28"/>
          <w:lang w:eastAsia="tr-TR"/>
        </w:rPr>
      </w:pPr>
    </w:p>
    <w:p w:rsidR="00C05024" w:rsidRPr="000B7397" w:rsidRDefault="00C05024" w:rsidP="00C05024">
      <w:pPr>
        <w:rPr>
          <w:rFonts w:asciiTheme="majorBidi" w:eastAsia="Times New Roman" w:hAnsiTheme="majorBidi" w:cstheme="majorBidi"/>
          <w:bCs/>
          <w:kern w:val="36"/>
          <w:sz w:val="28"/>
          <w:szCs w:val="28"/>
          <w:lang w:eastAsia="tr-TR"/>
        </w:rPr>
      </w:pPr>
    </w:p>
    <w:p w:rsidR="00C05024" w:rsidRPr="000B7397" w:rsidRDefault="00C05024" w:rsidP="00C05024">
      <w:pPr>
        <w:rPr>
          <w:rFonts w:asciiTheme="majorBidi" w:eastAsia="Times New Roman" w:hAnsiTheme="majorBidi" w:cstheme="majorBidi"/>
          <w:bCs/>
          <w:kern w:val="36"/>
          <w:sz w:val="28"/>
          <w:szCs w:val="28"/>
          <w:lang w:eastAsia="tr-TR"/>
        </w:rPr>
      </w:pPr>
    </w:p>
    <w:p w:rsidR="00C05024" w:rsidRPr="000B7397" w:rsidRDefault="00C05024" w:rsidP="00C05024">
      <w:pPr>
        <w:rPr>
          <w:rFonts w:asciiTheme="majorBidi" w:eastAsia="Times New Roman" w:hAnsiTheme="majorBidi" w:cstheme="majorBidi"/>
          <w:bCs/>
          <w:kern w:val="36"/>
          <w:sz w:val="28"/>
          <w:szCs w:val="28"/>
          <w:lang w:eastAsia="tr-TR"/>
        </w:rPr>
      </w:pPr>
    </w:p>
    <w:p w:rsidR="00C05024" w:rsidRPr="000B7397" w:rsidRDefault="00C05024" w:rsidP="00C05024">
      <w:pPr>
        <w:rPr>
          <w:rFonts w:asciiTheme="majorBidi" w:eastAsia="Times New Roman" w:hAnsiTheme="majorBidi" w:cstheme="majorBidi"/>
          <w:bCs/>
          <w:kern w:val="36"/>
          <w:sz w:val="28"/>
          <w:szCs w:val="28"/>
          <w:lang w:eastAsia="tr-TR"/>
        </w:rPr>
      </w:pPr>
    </w:p>
    <w:p w:rsidR="000B7397" w:rsidRPr="000B7397" w:rsidRDefault="000B7397" w:rsidP="000B7397">
      <w:pPr>
        <w:pStyle w:val="Balk1"/>
        <w:shd w:val="clear" w:color="auto" w:fill="FFFFFF"/>
        <w:spacing w:before="150" w:beforeAutospacing="0" w:after="150" w:afterAutospacing="0" w:line="375" w:lineRule="atLeast"/>
        <w:jc w:val="center"/>
        <w:rPr>
          <w:rFonts w:asciiTheme="majorBidi" w:hAnsiTheme="majorBidi" w:cstheme="majorBidi"/>
          <w:color w:val="02366F"/>
          <w:sz w:val="28"/>
          <w:szCs w:val="28"/>
        </w:rPr>
      </w:pPr>
      <w:r w:rsidRPr="000B7397">
        <w:rPr>
          <w:rFonts w:asciiTheme="majorBidi" w:hAnsiTheme="majorBidi" w:cstheme="majorBidi"/>
          <w:color w:val="02366F"/>
          <w:sz w:val="28"/>
          <w:szCs w:val="28"/>
        </w:rPr>
        <w:t>Memur-Sen Açlık ve Yoksulluk Sınırını Açıkladı</w:t>
      </w:r>
    </w:p>
    <w:p w:rsidR="00C05024" w:rsidRPr="000B7397" w:rsidRDefault="00C05024" w:rsidP="00C05024">
      <w:pPr>
        <w:rPr>
          <w:rFonts w:asciiTheme="majorBidi" w:eastAsia="Times New Roman" w:hAnsiTheme="majorBidi" w:cstheme="majorBidi"/>
          <w:b/>
          <w:bCs/>
          <w:kern w:val="36"/>
          <w:sz w:val="28"/>
          <w:szCs w:val="28"/>
          <w:lang w:eastAsia="tr-TR"/>
        </w:rPr>
      </w:pPr>
    </w:p>
    <w:p w:rsidR="00997AEE" w:rsidRPr="000B7397" w:rsidRDefault="000B7397" w:rsidP="000B7397">
      <w:pPr>
        <w:jc w:val="right"/>
        <w:rPr>
          <w:rFonts w:asciiTheme="majorBidi" w:eastAsia="Times New Roman" w:hAnsiTheme="majorBidi" w:cstheme="majorBidi"/>
          <w:b/>
          <w:bCs/>
          <w:kern w:val="36"/>
          <w:sz w:val="28"/>
          <w:szCs w:val="28"/>
          <w:lang w:eastAsia="tr-TR"/>
        </w:rPr>
      </w:pPr>
      <w:r>
        <w:rPr>
          <w:rFonts w:asciiTheme="majorBidi" w:eastAsia="Times New Roman" w:hAnsiTheme="majorBidi" w:cstheme="majorBidi"/>
          <w:b/>
          <w:bCs/>
          <w:kern w:val="36"/>
          <w:sz w:val="28"/>
          <w:szCs w:val="28"/>
          <w:lang w:eastAsia="tr-TR"/>
        </w:rPr>
        <w:t>05</w:t>
      </w:r>
      <w:r w:rsidR="00C05024" w:rsidRPr="000B7397">
        <w:rPr>
          <w:rFonts w:asciiTheme="majorBidi" w:eastAsia="Times New Roman" w:hAnsiTheme="majorBidi" w:cstheme="majorBidi"/>
          <w:b/>
          <w:bCs/>
          <w:kern w:val="36"/>
          <w:sz w:val="28"/>
          <w:szCs w:val="28"/>
          <w:lang w:eastAsia="tr-TR"/>
        </w:rPr>
        <w:t>.</w:t>
      </w:r>
      <w:r>
        <w:rPr>
          <w:rFonts w:asciiTheme="majorBidi" w:eastAsia="Times New Roman" w:hAnsiTheme="majorBidi" w:cstheme="majorBidi"/>
          <w:b/>
          <w:bCs/>
          <w:kern w:val="36"/>
          <w:sz w:val="28"/>
          <w:szCs w:val="28"/>
          <w:lang w:eastAsia="tr-TR"/>
        </w:rPr>
        <w:t>01</w:t>
      </w:r>
      <w:r w:rsidR="00C05024" w:rsidRPr="000B7397">
        <w:rPr>
          <w:rFonts w:asciiTheme="majorBidi" w:eastAsia="Times New Roman" w:hAnsiTheme="majorBidi" w:cstheme="majorBidi"/>
          <w:b/>
          <w:bCs/>
          <w:kern w:val="36"/>
          <w:sz w:val="28"/>
          <w:szCs w:val="28"/>
          <w:lang w:eastAsia="tr-TR"/>
        </w:rPr>
        <w:t>.1</w:t>
      </w:r>
      <w:r>
        <w:rPr>
          <w:rFonts w:asciiTheme="majorBidi" w:eastAsia="Times New Roman" w:hAnsiTheme="majorBidi" w:cstheme="majorBidi"/>
          <w:b/>
          <w:bCs/>
          <w:kern w:val="36"/>
          <w:sz w:val="28"/>
          <w:szCs w:val="28"/>
          <w:lang w:eastAsia="tr-TR"/>
        </w:rPr>
        <w:t>7</w:t>
      </w:r>
      <w:r w:rsidR="00C05024" w:rsidRPr="000B7397">
        <w:rPr>
          <w:rFonts w:asciiTheme="majorBidi" w:eastAsia="Times New Roman" w:hAnsiTheme="majorBidi" w:cstheme="majorBidi"/>
          <w:b/>
          <w:bCs/>
          <w:kern w:val="36"/>
          <w:sz w:val="28"/>
          <w:szCs w:val="28"/>
          <w:lang w:eastAsia="tr-TR"/>
        </w:rPr>
        <w:t xml:space="preserve">, </w:t>
      </w:r>
      <w:r>
        <w:rPr>
          <w:rFonts w:asciiTheme="majorBidi" w:eastAsia="Times New Roman" w:hAnsiTheme="majorBidi" w:cstheme="majorBidi"/>
          <w:b/>
          <w:bCs/>
          <w:kern w:val="36"/>
          <w:sz w:val="28"/>
          <w:szCs w:val="28"/>
          <w:lang w:eastAsia="tr-TR"/>
        </w:rPr>
        <w:t>Perşembe</w:t>
      </w:r>
      <w:bookmarkStart w:id="0" w:name="_GoBack"/>
      <w:bookmarkEnd w:id="0"/>
    </w:p>
    <w:p w:rsidR="00C05024" w:rsidRPr="000B7397" w:rsidRDefault="00C05024" w:rsidP="00C05024">
      <w:pPr>
        <w:jc w:val="right"/>
        <w:rPr>
          <w:rFonts w:asciiTheme="majorBidi" w:eastAsia="Times New Roman" w:hAnsiTheme="majorBidi" w:cstheme="majorBidi"/>
          <w:b/>
          <w:bCs/>
          <w:kern w:val="36"/>
          <w:sz w:val="28"/>
          <w:szCs w:val="28"/>
          <w:lang w:eastAsia="tr-TR"/>
        </w:rPr>
      </w:pPr>
    </w:p>
    <w:p w:rsidR="000B7397" w:rsidRPr="000B7397" w:rsidRDefault="000B7397" w:rsidP="000B7397">
      <w:pPr>
        <w:shd w:val="clear" w:color="auto" w:fill="FFFFFF"/>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b/>
          <w:bCs/>
          <w:color w:val="333333"/>
          <w:sz w:val="28"/>
          <w:szCs w:val="28"/>
          <w:bdr w:val="none" w:sz="0" w:space="0" w:color="auto" w:frame="1"/>
          <w:lang w:eastAsia="tr-TR"/>
        </w:rPr>
        <w:t>Memur-Sen tarafından her ay düzenli olarak yapılan “açlık-yoksulluk” araştırmasına göre, Türkiye’deki 4 kişilik bir ailenin açlık sınırı bin 546 TL, yoksulluk sınırı ise 4 bin 369 TL olarak belirlendi. </w:t>
      </w:r>
    </w:p>
    <w:p w:rsidR="000B7397" w:rsidRPr="000B7397" w:rsidRDefault="000B7397" w:rsidP="000B7397">
      <w:pPr>
        <w:shd w:val="clear" w:color="auto" w:fill="FFFFFF"/>
        <w:spacing w:before="75" w:after="75"/>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color w:val="333333"/>
          <w:sz w:val="28"/>
          <w:szCs w:val="28"/>
          <w:lang w:eastAsia="tr-TR"/>
        </w:rPr>
        <w:t>Memur-Sen Konfederasyonu tarafından her ay düzenli olarak yapılan açlık-yoksulluk araştırması sonuçları açıklandı. Araştırmaya göre Aralık ayında Türkiye’deki 4 kişilik bir ailenin açlık sınırı bin 546,794 TL, yoksulluk sınırı ise 4 bin 369,836 TL olarak tespit edildi. Yapılan araştırmaya göre Aralık ayında Kasım ayına göre gıda madde fiyatlarında ortalama yüzde 3,27’lik bir artış yaşandı. Aralık ayında en fazla artış yüzde 60,01’le patlıcan, yüzde 53,14 artışla yumurta, yüzde 34,71 artışla kabak, yüzde 28,29 artışla yeşil soğan, yüzde 26,89 artışla sivri biber, yüzde 22,03 artışla salatalıkta yaşandı. Göze çarpan en büyük düşüşler ise yüzde 16,64 azalışla portakal, yüzde 7,93 azalışla limon, yüzde 5,79 azalışla karnabahar, yüzde 5,74 azalışla kivi madde fiyatlarında yaşandı. Aydınlanmada ise Aralık ayında Kasım ayına göre değişim olmadı.</w:t>
      </w:r>
      <w:r>
        <w:rPr>
          <w:rFonts w:asciiTheme="majorBidi" w:eastAsia="Times New Roman" w:hAnsiTheme="majorBidi" w:cstheme="majorBidi"/>
          <w:color w:val="333333"/>
          <w:sz w:val="28"/>
          <w:szCs w:val="28"/>
          <w:lang w:eastAsia="tr-TR"/>
        </w:rPr>
        <w:br/>
      </w:r>
      <w:r w:rsidRPr="000B7397">
        <w:rPr>
          <w:rFonts w:asciiTheme="majorBidi" w:eastAsia="Times New Roman" w:hAnsiTheme="majorBidi" w:cstheme="majorBidi"/>
          <w:color w:val="333333"/>
          <w:sz w:val="28"/>
          <w:szCs w:val="28"/>
          <w:lang w:eastAsia="tr-TR"/>
        </w:rPr>
        <w:t> </w:t>
      </w:r>
    </w:p>
    <w:p w:rsidR="000B7397" w:rsidRPr="000B7397" w:rsidRDefault="000B7397" w:rsidP="000B7397">
      <w:pPr>
        <w:shd w:val="clear" w:color="auto" w:fill="FFFFFF"/>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b/>
          <w:bCs/>
          <w:color w:val="333333"/>
          <w:sz w:val="28"/>
          <w:szCs w:val="28"/>
          <w:bdr w:val="none" w:sz="0" w:space="0" w:color="auto" w:frame="1"/>
          <w:lang w:eastAsia="tr-TR"/>
        </w:rPr>
        <w:t>Ulaşım, Eğitim ve Haberleşme Pahalandı</w:t>
      </w:r>
    </w:p>
    <w:p w:rsidR="000B7397" w:rsidRPr="000B7397" w:rsidRDefault="000B7397" w:rsidP="000B7397">
      <w:pPr>
        <w:shd w:val="clear" w:color="auto" w:fill="FFFFFF"/>
        <w:spacing w:before="75" w:after="75"/>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color w:val="333333"/>
          <w:sz w:val="28"/>
          <w:szCs w:val="28"/>
          <w:lang w:eastAsia="tr-TR"/>
        </w:rPr>
        <w:t>Ulaşım madde fiyatlarında yüzde 1,10’luk bir artış olduğu belirlendi.  Kasım ayına göre en göze çarpan değişimin yüzde 6,06 artışla mazot, yüzde 5,41 artışla benzin fiyatlarında olduğu gözlendi. Bununla birlikte ulaşım madde fiyatlarında yüzde 4,19 azalışla şehirlerarası otobüs ücreti, yüzde 0,1 azalışla şehir içi nakliye ücreti madde fiyatlarında düşüş olduğu tespit edildi.</w:t>
      </w:r>
    </w:p>
    <w:p w:rsidR="000B7397" w:rsidRPr="000B7397" w:rsidRDefault="000B7397" w:rsidP="000B7397">
      <w:pPr>
        <w:shd w:val="clear" w:color="auto" w:fill="FFFFFF"/>
        <w:spacing w:before="75" w:after="75"/>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color w:val="333333"/>
          <w:sz w:val="28"/>
          <w:szCs w:val="28"/>
          <w:lang w:eastAsia="tr-TR"/>
        </w:rPr>
        <w:t xml:space="preserve">Eğitim-kültür madde fiyatlarında yüzde 1,37’lik bir artış oldu. Eğitim-kültür madde fiyatlarında Kasım ayına göre değişimin yüzde 8,16 artışla Umreye gidiş ücreti, yüzde 6,26 artışla fotoğraf makinesi, yüzde 5,11 artışla spor müsabakalarına giriş ücreti madde fiyatlarında olduğu gözlendi. Bununla birlikte eğitim-kültür madde fiyatlarında yüzde 2,59 azalışla çocuk kitapları, yüzde 0,21 azalışla edebi kitaplar madde fiyatlarında düşüş yaşandı. Aralık ayında Kasım ayına göre haberleşme madde fiyatlarında ortalama değişim yüzde 0,10’luk bir artış olarak yansıdı. Haberleşme madde fiyatlarında Kasım ayına göre en göze çarpan değişimin yüzde 2,03 artışla telefon yedek parçaları ücreti madde fiyatında olduğu gözlendi. Bununla birlikte haberleşme madde fiyatlarında Kasım ayına göre telefon </w:t>
      </w:r>
      <w:proofErr w:type="gramStart"/>
      <w:r w:rsidRPr="000B7397">
        <w:rPr>
          <w:rFonts w:asciiTheme="majorBidi" w:eastAsia="Times New Roman" w:hAnsiTheme="majorBidi" w:cstheme="majorBidi"/>
          <w:color w:val="333333"/>
          <w:sz w:val="28"/>
          <w:szCs w:val="28"/>
          <w:lang w:eastAsia="tr-TR"/>
        </w:rPr>
        <w:t>ekipmanlarında</w:t>
      </w:r>
      <w:proofErr w:type="gramEnd"/>
      <w:r w:rsidRPr="000B7397">
        <w:rPr>
          <w:rFonts w:asciiTheme="majorBidi" w:eastAsia="Times New Roman" w:hAnsiTheme="majorBidi" w:cstheme="majorBidi"/>
          <w:color w:val="333333"/>
          <w:sz w:val="28"/>
          <w:szCs w:val="28"/>
          <w:lang w:eastAsia="tr-TR"/>
        </w:rPr>
        <w:t xml:space="preserve"> yüzde 1,25 azalış oldu. </w:t>
      </w:r>
    </w:p>
    <w:p w:rsidR="000B7397" w:rsidRPr="000B7397" w:rsidRDefault="000B7397" w:rsidP="000B7397">
      <w:pPr>
        <w:shd w:val="clear" w:color="auto" w:fill="FFFFFF"/>
        <w:jc w:val="both"/>
        <w:rPr>
          <w:rFonts w:asciiTheme="majorBidi" w:eastAsia="Times New Roman" w:hAnsiTheme="majorBidi" w:cstheme="majorBidi"/>
          <w:color w:val="333333"/>
          <w:sz w:val="28"/>
          <w:szCs w:val="28"/>
          <w:lang w:eastAsia="tr-TR"/>
        </w:rPr>
      </w:pPr>
      <w:r>
        <w:rPr>
          <w:rFonts w:asciiTheme="majorBidi" w:eastAsia="Times New Roman" w:hAnsiTheme="majorBidi" w:cstheme="majorBidi"/>
          <w:b/>
          <w:bCs/>
          <w:color w:val="333333"/>
          <w:sz w:val="28"/>
          <w:szCs w:val="28"/>
          <w:bdr w:val="none" w:sz="0" w:space="0" w:color="auto" w:frame="1"/>
          <w:lang w:eastAsia="tr-TR"/>
        </w:rPr>
        <w:lastRenderedPageBreak/>
        <w:br/>
      </w:r>
      <w:r>
        <w:rPr>
          <w:rFonts w:asciiTheme="majorBidi" w:eastAsia="Times New Roman" w:hAnsiTheme="majorBidi" w:cstheme="majorBidi"/>
          <w:b/>
          <w:bCs/>
          <w:color w:val="333333"/>
          <w:sz w:val="28"/>
          <w:szCs w:val="28"/>
          <w:bdr w:val="none" w:sz="0" w:space="0" w:color="auto" w:frame="1"/>
          <w:lang w:eastAsia="tr-TR"/>
        </w:rPr>
        <w:br/>
      </w:r>
      <w:r>
        <w:rPr>
          <w:rFonts w:asciiTheme="majorBidi" w:eastAsia="Times New Roman" w:hAnsiTheme="majorBidi" w:cstheme="majorBidi"/>
          <w:b/>
          <w:bCs/>
          <w:color w:val="333333"/>
          <w:sz w:val="28"/>
          <w:szCs w:val="28"/>
          <w:bdr w:val="none" w:sz="0" w:space="0" w:color="auto" w:frame="1"/>
          <w:lang w:eastAsia="tr-TR"/>
        </w:rPr>
        <w:br/>
      </w:r>
      <w:r>
        <w:rPr>
          <w:rFonts w:asciiTheme="majorBidi" w:eastAsia="Times New Roman" w:hAnsiTheme="majorBidi" w:cstheme="majorBidi"/>
          <w:b/>
          <w:bCs/>
          <w:color w:val="333333"/>
          <w:sz w:val="28"/>
          <w:szCs w:val="28"/>
          <w:bdr w:val="none" w:sz="0" w:space="0" w:color="auto" w:frame="1"/>
          <w:lang w:eastAsia="tr-TR"/>
        </w:rPr>
        <w:br/>
      </w:r>
      <w:r>
        <w:rPr>
          <w:rFonts w:asciiTheme="majorBidi" w:eastAsia="Times New Roman" w:hAnsiTheme="majorBidi" w:cstheme="majorBidi"/>
          <w:b/>
          <w:bCs/>
          <w:color w:val="333333"/>
          <w:sz w:val="28"/>
          <w:szCs w:val="28"/>
          <w:bdr w:val="none" w:sz="0" w:space="0" w:color="auto" w:frame="1"/>
          <w:lang w:eastAsia="tr-TR"/>
        </w:rPr>
        <w:br/>
      </w:r>
      <w:r w:rsidRPr="000B7397">
        <w:rPr>
          <w:rFonts w:asciiTheme="majorBidi" w:eastAsia="Times New Roman" w:hAnsiTheme="majorBidi" w:cstheme="majorBidi"/>
          <w:b/>
          <w:bCs/>
          <w:color w:val="333333"/>
          <w:sz w:val="28"/>
          <w:szCs w:val="28"/>
          <w:bdr w:val="none" w:sz="0" w:space="0" w:color="auto" w:frame="1"/>
          <w:lang w:eastAsia="tr-TR"/>
        </w:rPr>
        <w:t>Giyim Ucuzladı</w:t>
      </w:r>
    </w:p>
    <w:p w:rsidR="000B7397" w:rsidRPr="000B7397" w:rsidRDefault="000B7397" w:rsidP="000B7397">
      <w:pPr>
        <w:shd w:val="clear" w:color="auto" w:fill="FFFFFF"/>
        <w:spacing w:before="75" w:after="75"/>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color w:val="333333"/>
          <w:sz w:val="28"/>
          <w:szCs w:val="28"/>
          <w:lang w:eastAsia="tr-TR"/>
        </w:rPr>
        <w:t xml:space="preserve">Aralık ayında Kasım ayına göre giyim fiyatlarında ise ortalama yüzde 1,85’lik bir düşüş gözlendi. Giyim madde fiyatlarında Kasım ayına göre en göze çarpan değişimler yüzde 4,11 artışla iç çamaşırı, yüzde 3,81 artışla pamuklu kumaş, yüzde 2,15 artışla karışım kumaşlar, yüzde 1,73 artışla kadın çizmesi madde fiyatlarında oldu. Bununla birlikte giyim madde fiyatlarında Kasım ayına göre yüzde 8,72 azalışla kadın gömleği, yüzde 7,56 azalışla kadın ceketi, yüzde 7,37 azalışla çocuk kazağı, </w:t>
      </w:r>
    </w:p>
    <w:p w:rsidR="000B7397" w:rsidRPr="000B7397" w:rsidRDefault="000B7397" w:rsidP="000B7397">
      <w:pPr>
        <w:shd w:val="clear" w:color="auto" w:fill="FFFFFF"/>
        <w:spacing w:before="75" w:after="75"/>
        <w:jc w:val="both"/>
        <w:rPr>
          <w:rFonts w:asciiTheme="majorBidi" w:eastAsia="Times New Roman" w:hAnsiTheme="majorBidi" w:cstheme="majorBidi"/>
          <w:color w:val="333333"/>
          <w:sz w:val="28"/>
          <w:szCs w:val="28"/>
          <w:lang w:eastAsia="tr-TR"/>
        </w:rPr>
      </w:pPr>
      <w:proofErr w:type="gramStart"/>
      <w:r w:rsidRPr="000B7397">
        <w:rPr>
          <w:rFonts w:asciiTheme="majorBidi" w:eastAsia="Times New Roman" w:hAnsiTheme="majorBidi" w:cstheme="majorBidi"/>
          <w:color w:val="333333"/>
          <w:sz w:val="28"/>
          <w:szCs w:val="28"/>
          <w:lang w:eastAsia="tr-TR"/>
        </w:rPr>
        <w:t>yüzde</w:t>
      </w:r>
      <w:proofErr w:type="gramEnd"/>
      <w:r w:rsidRPr="000B7397">
        <w:rPr>
          <w:rFonts w:asciiTheme="majorBidi" w:eastAsia="Times New Roman" w:hAnsiTheme="majorBidi" w:cstheme="majorBidi"/>
          <w:color w:val="333333"/>
          <w:sz w:val="28"/>
          <w:szCs w:val="28"/>
          <w:lang w:eastAsia="tr-TR"/>
        </w:rPr>
        <w:t xml:space="preserve"> 7,15 azalışla hırka, yüzde 5,83 azalışla elbise fiyatlarında düşüş oldu. Aralık ayında Kasım ayına göre ısınma madde fiyatlarında ortalama yüzde 0,39’luk bir artış, Aralık ayında Kasım ayına göre barınma madde fiyatlarında ortalama yüzde 0,67’lik bir artış belirlendi. </w:t>
      </w:r>
    </w:p>
    <w:p w:rsidR="000B7397" w:rsidRPr="000B7397" w:rsidRDefault="000B7397" w:rsidP="000B7397">
      <w:pPr>
        <w:shd w:val="clear" w:color="auto" w:fill="FFFFFF"/>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b/>
          <w:bCs/>
          <w:color w:val="333333"/>
          <w:sz w:val="28"/>
          <w:szCs w:val="28"/>
          <w:bdr w:val="none" w:sz="0" w:space="0" w:color="auto" w:frame="1"/>
          <w:lang w:eastAsia="tr-TR"/>
        </w:rPr>
        <w:t>Sağlık ve Kişisel Temizlik Madde Fiyatlarında Artış Yaşandı</w:t>
      </w:r>
    </w:p>
    <w:p w:rsidR="000B7397" w:rsidRPr="000B7397" w:rsidRDefault="000B7397" w:rsidP="000B7397">
      <w:pPr>
        <w:shd w:val="clear" w:color="auto" w:fill="FFFFFF"/>
        <w:spacing w:before="75" w:after="75"/>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color w:val="333333"/>
          <w:sz w:val="28"/>
          <w:szCs w:val="28"/>
          <w:lang w:eastAsia="tr-TR"/>
        </w:rPr>
        <w:t xml:space="preserve">Aralık ayında Kasım ayına göre sağlık madde fiyatlarında ortalama değişim yüzde 0,39’luk bir artış olarak gözlenirken, en göze çarpan değişimlerin yüzde 1,14 artışla normal doğum ücreti; yüzde 0,18 azalışla ilaçlar madde fiyatlarında olduğu gözlendi. Kişisel temizlik ve bakım madde fiyatlarında yüzde 1,45’lik bir artış gözlendi. Kişisel temizlik ve bakım madde fiyatlarında Kasım ayına göre en göze çarpan değişimin yüzde 8,06 artışla sabun, yüzde 3,26 artışla </w:t>
      </w:r>
      <w:proofErr w:type="spellStart"/>
      <w:r w:rsidRPr="000B7397">
        <w:rPr>
          <w:rFonts w:asciiTheme="majorBidi" w:eastAsia="Times New Roman" w:hAnsiTheme="majorBidi" w:cstheme="majorBidi"/>
          <w:color w:val="333333"/>
          <w:sz w:val="28"/>
          <w:szCs w:val="28"/>
          <w:lang w:eastAsia="tr-TR"/>
        </w:rPr>
        <w:t>traş</w:t>
      </w:r>
      <w:proofErr w:type="spellEnd"/>
      <w:r w:rsidRPr="000B7397">
        <w:rPr>
          <w:rFonts w:asciiTheme="majorBidi" w:eastAsia="Times New Roman" w:hAnsiTheme="majorBidi" w:cstheme="majorBidi"/>
          <w:color w:val="333333"/>
          <w:sz w:val="28"/>
          <w:szCs w:val="28"/>
          <w:lang w:eastAsia="tr-TR"/>
        </w:rPr>
        <w:t xml:space="preserve"> malzemeleri madde fiyatlarında olduğu tespit edildi. Bununla birlikte kişisel temizlik ve bakım madde fiyatlarında yüzde 0,5 azalışla elektrikli saç bakım aletleri madde fiyatında düşüş olduğu tespit edildi. Çevre ve su madde fiyatlarında yüzde 1,14’lük bir artış yaşandı. Çevre ve su madde fiyatlarında Kasım ayına göre en göze çarpan değişimlerin yüzde 3,29 artışla pencere (</w:t>
      </w:r>
      <w:proofErr w:type="spellStart"/>
      <w:r w:rsidRPr="000B7397">
        <w:rPr>
          <w:rFonts w:asciiTheme="majorBidi" w:eastAsia="Times New Roman" w:hAnsiTheme="majorBidi" w:cstheme="majorBidi"/>
          <w:color w:val="333333"/>
          <w:sz w:val="28"/>
          <w:szCs w:val="28"/>
          <w:lang w:eastAsia="tr-TR"/>
        </w:rPr>
        <w:t>pvc</w:t>
      </w:r>
      <w:proofErr w:type="spellEnd"/>
      <w:r w:rsidRPr="000B7397">
        <w:rPr>
          <w:rFonts w:asciiTheme="majorBidi" w:eastAsia="Times New Roman" w:hAnsiTheme="majorBidi" w:cstheme="majorBidi"/>
          <w:color w:val="333333"/>
          <w:sz w:val="28"/>
          <w:szCs w:val="28"/>
          <w:lang w:eastAsia="tr-TR"/>
        </w:rPr>
        <w:t>) madde fiyatında olduğu gözlendi.</w:t>
      </w:r>
    </w:p>
    <w:tbl>
      <w:tblPr>
        <w:tblW w:w="10665" w:type="dxa"/>
        <w:tblBorders>
          <w:top w:val="single" w:sz="2" w:space="0" w:color="DDDDDD"/>
        </w:tblBorders>
        <w:shd w:val="clear" w:color="auto" w:fill="FFFFFF"/>
        <w:tblCellMar>
          <w:left w:w="0" w:type="dxa"/>
          <w:right w:w="0" w:type="dxa"/>
        </w:tblCellMar>
        <w:tblLook w:val="04A0" w:firstRow="1" w:lastRow="0" w:firstColumn="1" w:lastColumn="0" w:noHBand="0" w:noVBand="1"/>
      </w:tblPr>
      <w:tblGrid>
        <w:gridCol w:w="3628"/>
        <w:gridCol w:w="3452"/>
        <w:gridCol w:w="3585"/>
      </w:tblGrid>
      <w:tr w:rsidR="000B7397" w:rsidRPr="000B7397" w:rsidTr="000B7397">
        <w:tc>
          <w:tcPr>
            <w:tcW w:w="2460" w:type="dxa"/>
            <w:tcBorders>
              <w:top w:val="single" w:sz="2" w:space="0" w:color="DDDDDD"/>
              <w:left w:val="single" w:sz="2" w:space="0" w:color="DDDDDD"/>
              <w:bottom w:val="single" w:sz="2" w:space="0" w:color="DDDDDD"/>
              <w:right w:val="single" w:sz="2" w:space="0" w:color="DDDDDD"/>
            </w:tcBorders>
            <w:shd w:val="clear" w:color="auto" w:fill="FFFFFF"/>
            <w:tcMar>
              <w:top w:w="75" w:type="dxa"/>
              <w:left w:w="60" w:type="dxa"/>
              <w:bottom w:w="75" w:type="dxa"/>
              <w:right w:w="60" w:type="dxa"/>
            </w:tcMar>
            <w:vAlign w:val="center"/>
            <w:hideMark/>
          </w:tcPr>
          <w:p w:rsidR="000B7397" w:rsidRPr="000B7397" w:rsidRDefault="000B7397" w:rsidP="000B7397">
            <w:pPr>
              <w:spacing w:before="75" w:after="75"/>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color w:val="333333"/>
                <w:sz w:val="28"/>
                <w:szCs w:val="28"/>
                <w:lang w:eastAsia="tr-TR"/>
              </w:rPr>
              <w:t> </w:t>
            </w:r>
          </w:p>
        </w:tc>
        <w:tc>
          <w:tcPr>
            <w:tcW w:w="2340" w:type="dxa"/>
            <w:tcBorders>
              <w:top w:val="single" w:sz="2" w:space="0" w:color="DDDDDD"/>
              <w:left w:val="single" w:sz="2" w:space="0" w:color="DDDDDD"/>
              <w:bottom w:val="single" w:sz="2" w:space="0" w:color="DDDDDD"/>
              <w:right w:val="single" w:sz="2" w:space="0" w:color="DDDDDD"/>
            </w:tcBorders>
            <w:shd w:val="clear" w:color="auto" w:fill="FFFFFF"/>
            <w:tcMar>
              <w:top w:w="75" w:type="dxa"/>
              <w:left w:w="60" w:type="dxa"/>
              <w:bottom w:w="75" w:type="dxa"/>
              <w:right w:w="60" w:type="dxa"/>
            </w:tcMar>
            <w:vAlign w:val="center"/>
            <w:hideMark/>
          </w:tcPr>
          <w:p w:rsidR="000B7397" w:rsidRPr="000B7397" w:rsidRDefault="000B7397" w:rsidP="000B7397">
            <w:pPr>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b/>
                <w:bCs/>
                <w:color w:val="333333"/>
                <w:sz w:val="28"/>
                <w:szCs w:val="28"/>
                <w:bdr w:val="none" w:sz="0" w:space="0" w:color="auto" w:frame="1"/>
                <w:lang w:eastAsia="tr-TR"/>
              </w:rPr>
              <w:t>KASIM 2016</w:t>
            </w:r>
          </w:p>
        </w:tc>
        <w:tc>
          <w:tcPr>
            <w:tcW w:w="2430" w:type="dxa"/>
            <w:tcBorders>
              <w:top w:val="single" w:sz="2" w:space="0" w:color="DDDDDD"/>
              <w:left w:val="single" w:sz="2" w:space="0" w:color="DDDDDD"/>
              <w:bottom w:val="single" w:sz="2" w:space="0" w:color="DDDDDD"/>
              <w:right w:val="single" w:sz="2" w:space="0" w:color="DDDDDD"/>
            </w:tcBorders>
            <w:shd w:val="clear" w:color="auto" w:fill="FFFFFF"/>
            <w:tcMar>
              <w:top w:w="75" w:type="dxa"/>
              <w:left w:w="60" w:type="dxa"/>
              <w:bottom w:w="75" w:type="dxa"/>
              <w:right w:w="60" w:type="dxa"/>
            </w:tcMar>
            <w:vAlign w:val="center"/>
            <w:hideMark/>
          </w:tcPr>
          <w:p w:rsidR="000B7397" w:rsidRPr="000B7397" w:rsidRDefault="000B7397" w:rsidP="000B7397">
            <w:pPr>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b/>
                <w:bCs/>
                <w:color w:val="333333"/>
                <w:sz w:val="28"/>
                <w:szCs w:val="28"/>
                <w:bdr w:val="none" w:sz="0" w:space="0" w:color="auto" w:frame="1"/>
                <w:lang w:eastAsia="tr-TR"/>
              </w:rPr>
              <w:t>ARALIK 2016</w:t>
            </w:r>
          </w:p>
        </w:tc>
      </w:tr>
      <w:tr w:rsidR="000B7397" w:rsidRPr="000B7397" w:rsidTr="000B7397">
        <w:tc>
          <w:tcPr>
            <w:tcW w:w="2460" w:type="dxa"/>
            <w:tcBorders>
              <w:top w:val="single" w:sz="2" w:space="0" w:color="DDDDDD"/>
              <w:left w:val="single" w:sz="2" w:space="0" w:color="DDDDDD"/>
              <w:bottom w:val="single" w:sz="2" w:space="0" w:color="DDDDDD"/>
              <w:right w:val="single" w:sz="2" w:space="0" w:color="DDDDDD"/>
            </w:tcBorders>
            <w:shd w:val="clear" w:color="auto" w:fill="F9F9F9"/>
            <w:tcMar>
              <w:top w:w="75" w:type="dxa"/>
              <w:left w:w="60" w:type="dxa"/>
              <w:bottom w:w="75" w:type="dxa"/>
              <w:right w:w="60" w:type="dxa"/>
            </w:tcMar>
            <w:vAlign w:val="center"/>
            <w:hideMark/>
          </w:tcPr>
          <w:p w:rsidR="000B7397" w:rsidRPr="000B7397" w:rsidRDefault="000B7397" w:rsidP="000B7397">
            <w:pPr>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b/>
                <w:bCs/>
                <w:color w:val="333333"/>
                <w:sz w:val="28"/>
                <w:szCs w:val="28"/>
                <w:bdr w:val="none" w:sz="0" w:space="0" w:color="auto" w:frame="1"/>
                <w:lang w:eastAsia="tr-TR"/>
              </w:rPr>
              <w:t>Açlık Sınırı</w:t>
            </w:r>
          </w:p>
        </w:tc>
        <w:tc>
          <w:tcPr>
            <w:tcW w:w="2340" w:type="dxa"/>
            <w:tcBorders>
              <w:top w:val="single" w:sz="2" w:space="0" w:color="DDDDDD"/>
              <w:left w:val="single" w:sz="2" w:space="0" w:color="DDDDDD"/>
              <w:bottom w:val="single" w:sz="2" w:space="0" w:color="DDDDDD"/>
              <w:right w:val="single" w:sz="2" w:space="0" w:color="DDDDDD"/>
            </w:tcBorders>
            <w:shd w:val="clear" w:color="auto" w:fill="F9F9F9"/>
            <w:tcMar>
              <w:top w:w="75" w:type="dxa"/>
              <w:left w:w="60" w:type="dxa"/>
              <w:bottom w:w="75" w:type="dxa"/>
              <w:right w:w="60" w:type="dxa"/>
            </w:tcMar>
            <w:vAlign w:val="center"/>
            <w:hideMark/>
          </w:tcPr>
          <w:p w:rsidR="000B7397" w:rsidRPr="000B7397" w:rsidRDefault="000B7397" w:rsidP="000B7397">
            <w:pPr>
              <w:spacing w:before="75" w:after="75"/>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color w:val="333333"/>
                <w:sz w:val="28"/>
                <w:szCs w:val="28"/>
                <w:lang w:eastAsia="tr-TR"/>
              </w:rPr>
              <w:t>1.497,813</w:t>
            </w:r>
          </w:p>
        </w:tc>
        <w:tc>
          <w:tcPr>
            <w:tcW w:w="2430" w:type="dxa"/>
            <w:tcBorders>
              <w:top w:val="single" w:sz="2" w:space="0" w:color="DDDDDD"/>
              <w:left w:val="single" w:sz="2" w:space="0" w:color="DDDDDD"/>
              <w:bottom w:val="single" w:sz="2" w:space="0" w:color="DDDDDD"/>
              <w:right w:val="single" w:sz="2" w:space="0" w:color="DDDDDD"/>
            </w:tcBorders>
            <w:shd w:val="clear" w:color="auto" w:fill="F9F9F9"/>
            <w:tcMar>
              <w:top w:w="75" w:type="dxa"/>
              <w:left w:w="60" w:type="dxa"/>
              <w:bottom w:w="75" w:type="dxa"/>
              <w:right w:w="60" w:type="dxa"/>
            </w:tcMar>
            <w:vAlign w:val="center"/>
            <w:hideMark/>
          </w:tcPr>
          <w:p w:rsidR="000B7397" w:rsidRPr="000B7397" w:rsidRDefault="000B7397" w:rsidP="000B7397">
            <w:pPr>
              <w:spacing w:before="75" w:after="75"/>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color w:val="333333"/>
                <w:sz w:val="28"/>
                <w:szCs w:val="28"/>
                <w:lang w:eastAsia="tr-TR"/>
              </w:rPr>
              <w:t>1.546,794</w:t>
            </w:r>
          </w:p>
        </w:tc>
      </w:tr>
      <w:tr w:rsidR="000B7397" w:rsidRPr="000B7397" w:rsidTr="000B7397">
        <w:tc>
          <w:tcPr>
            <w:tcW w:w="2460" w:type="dxa"/>
            <w:tcBorders>
              <w:top w:val="single" w:sz="2" w:space="0" w:color="DDDDDD"/>
              <w:left w:val="single" w:sz="2" w:space="0" w:color="DDDDDD"/>
              <w:bottom w:val="single" w:sz="2" w:space="0" w:color="DDDDDD"/>
              <w:right w:val="single" w:sz="2" w:space="0" w:color="DDDDDD"/>
            </w:tcBorders>
            <w:shd w:val="clear" w:color="auto" w:fill="FFFFFF"/>
            <w:tcMar>
              <w:top w:w="75" w:type="dxa"/>
              <w:left w:w="60" w:type="dxa"/>
              <w:bottom w:w="75" w:type="dxa"/>
              <w:right w:w="60" w:type="dxa"/>
            </w:tcMar>
            <w:vAlign w:val="center"/>
            <w:hideMark/>
          </w:tcPr>
          <w:p w:rsidR="000B7397" w:rsidRPr="000B7397" w:rsidRDefault="000B7397" w:rsidP="000B7397">
            <w:pPr>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b/>
                <w:bCs/>
                <w:color w:val="333333"/>
                <w:sz w:val="28"/>
                <w:szCs w:val="28"/>
                <w:bdr w:val="none" w:sz="0" w:space="0" w:color="auto" w:frame="1"/>
                <w:lang w:eastAsia="tr-TR"/>
              </w:rPr>
              <w:t>Yoksulluk Sınırı (Asgari Geçim Endeksi)</w:t>
            </w:r>
          </w:p>
        </w:tc>
        <w:tc>
          <w:tcPr>
            <w:tcW w:w="2340" w:type="dxa"/>
            <w:tcBorders>
              <w:top w:val="single" w:sz="2" w:space="0" w:color="DDDDDD"/>
              <w:left w:val="single" w:sz="2" w:space="0" w:color="DDDDDD"/>
              <w:bottom w:val="single" w:sz="2" w:space="0" w:color="DDDDDD"/>
              <w:right w:val="single" w:sz="2" w:space="0" w:color="DDDDDD"/>
            </w:tcBorders>
            <w:shd w:val="clear" w:color="auto" w:fill="FFFFFF"/>
            <w:tcMar>
              <w:top w:w="75" w:type="dxa"/>
              <w:left w:w="60" w:type="dxa"/>
              <w:bottom w:w="75" w:type="dxa"/>
              <w:right w:w="60" w:type="dxa"/>
            </w:tcMar>
            <w:vAlign w:val="center"/>
            <w:hideMark/>
          </w:tcPr>
          <w:p w:rsidR="000B7397" w:rsidRPr="000B7397" w:rsidRDefault="000B7397" w:rsidP="000B7397">
            <w:pPr>
              <w:spacing w:before="75" w:after="75"/>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color w:val="333333"/>
                <w:sz w:val="28"/>
                <w:szCs w:val="28"/>
                <w:lang w:eastAsia="tr-TR"/>
              </w:rPr>
              <w:t>4.309,176</w:t>
            </w:r>
          </w:p>
        </w:tc>
        <w:tc>
          <w:tcPr>
            <w:tcW w:w="2430" w:type="dxa"/>
            <w:tcBorders>
              <w:top w:val="single" w:sz="2" w:space="0" w:color="DDDDDD"/>
              <w:left w:val="single" w:sz="2" w:space="0" w:color="DDDDDD"/>
              <w:bottom w:val="single" w:sz="2" w:space="0" w:color="DDDDDD"/>
              <w:right w:val="single" w:sz="2" w:space="0" w:color="DDDDDD"/>
            </w:tcBorders>
            <w:shd w:val="clear" w:color="auto" w:fill="FFFFFF"/>
            <w:tcMar>
              <w:top w:w="75" w:type="dxa"/>
              <w:left w:w="60" w:type="dxa"/>
              <w:bottom w:w="75" w:type="dxa"/>
              <w:right w:w="60" w:type="dxa"/>
            </w:tcMar>
            <w:vAlign w:val="center"/>
            <w:hideMark/>
          </w:tcPr>
          <w:p w:rsidR="000B7397" w:rsidRPr="000B7397" w:rsidRDefault="000B7397" w:rsidP="000B7397">
            <w:pPr>
              <w:spacing w:before="75" w:after="75"/>
              <w:jc w:val="both"/>
              <w:rPr>
                <w:rFonts w:asciiTheme="majorBidi" w:eastAsia="Times New Roman" w:hAnsiTheme="majorBidi" w:cstheme="majorBidi"/>
                <w:color w:val="333333"/>
                <w:sz w:val="28"/>
                <w:szCs w:val="28"/>
                <w:lang w:eastAsia="tr-TR"/>
              </w:rPr>
            </w:pPr>
            <w:r w:rsidRPr="000B7397">
              <w:rPr>
                <w:rFonts w:asciiTheme="majorBidi" w:eastAsia="Times New Roman" w:hAnsiTheme="majorBidi" w:cstheme="majorBidi"/>
                <w:color w:val="333333"/>
                <w:sz w:val="28"/>
                <w:szCs w:val="28"/>
                <w:lang w:eastAsia="tr-TR"/>
              </w:rPr>
              <w:t>4.369,836</w:t>
            </w:r>
          </w:p>
        </w:tc>
      </w:tr>
    </w:tbl>
    <w:p w:rsidR="00B7745B" w:rsidRPr="000B7397" w:rsidRDefault="00B7745B" w:rsidP="000B7397">
      <w:pPr>
        <w:rPr>
          <w:rFonts w:asciiTheme="majorBidi" w:hAnsiTheme="majorBidi" w:cstheme="majorBidi"/>
          <w:sz w:val="28"/>
          <w:szCs w:val="28"/>
        </w:rPr>
      </w:pPr>
    </w:p>
    <w:sectPr w:rsidR="00B7745B" w:rsidRPr="000B7397" w:rsidSect="00FF57C1">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42E8" w:rsidRDefault="003B42E8" w:rsidP="009D692B">
      <w:r>
        <w:separator/>
      </w:r>
    </w:p>
  </w:endnote>
  <w:endnote w:type="continuationSeparator" w:id="0">
    <w:p w:rsidR="003B42E8" w:rsidRDefault="003B42E8"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42E8" w:rsidRDefault="003B42E8" w:rsidP="009D692B">
      <w:r>
        <w:separator/>
      </w:r>
    </w:p>
  </w:footnote>
  <w:footnote w:type="continuationSeparator" w:id="0">
    <w:p w:rsidR="003B42E8" w:rsidRDefault="003B42E8" w:rsidP="009D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B9" w:rsidRDefault="006155B9" w:rsidP="009D692B">
    <w:pPr>
      <w:pStyle w:val="stbilgi"/>
    </w:pPr>
    <w:r>
      <w:rPr>
        <w:noProof/>
        <w:lang w:eastAsia="tr-TR"/>
      </w:rPr>
      <w:drawing>
        <wp:anchor distT="0" distB="0" distL="114300" distR="114300" simplePos="0" relativeHeight="251658240" behindDoc="0" locked="0" layoutInCell="1" allowOverlap="1">
          <wp:simplePos x="0" y="0"/>
          <wp:positionH relativeFrom="column">
            <wp:posOffset>-855980</wp:posOffset>
          </wp:positionH>
          <wp:positionV relativeFrom="paragraph">
            <wp:posOffset>-335280</wp:posOffset>
          </wp:positionV>
          <wp:extent cx="7551705" cy="1831340"/>
          <wp:effectExtent l="0" t="0" r="0" b="0"/>
          <wp:wrapNone/>
          <wp:docPr id="2" name="Resim 2"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6155B9" w:rsidRDefault="006155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6D17"/>
    <w:multiLevelType w:val="hybridMultilevel"/>
    <w:tmpl w:val="D750CC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2B"/>
    <w:rsid w:val="00020CAC"/>
    <w:rsid w:val="00033EDF"/>
    <w:rsid w:val="00064A13"/>
    <w:rsid w:val="00071C1A"/>
    <w:rsid w:val="000B7397"/>
    <w:rsid w:val="00130FA0"/>
    <w:rsid w:val="00132131"/>
    <w:rsid w:val="00157ABA"/>
    <w:rsid w:val="00162244"/>
    <w:rsid w:val="001717EB"/>
    <w:rsid w:val="001B68D6"/>
    <w:rsid w:val="001C6C8D"/>
    <w:rsid w:val="001C6EF1"/>
    <w:rsid w:val="001F31E8"/>
    <w:rsid w:val="002105CC"/>
    <w:rsid w:val="0023372E"/>
    <w:rsid w:val="00252FAD"/>
    <w:rsid w:val="00261D25"/>
    <w:rsid w:val="00280FEB"/>
    <w:rsid w:val="00282A9E"/>
    <w:rsid w:val="002D3270"/>
    <w:rsid w:val="002D6784"/>
    <w:rsid w:val="002F7BAD"/>
    <w:rsid w:val="003032EE"/>
    <w:rsid w:val="0031139B"/>
    <w:rsid w:val="00321343"/>
    <w:rsid w:val="00335B94"/>
    <w:rsid w:val="00353723"/>
    <w:rsid w:val="00383E3C"/>
    <w:rsid w:val="003B42E8"/>
    <w:rsid w:val="003B726F"/>
    <w:rsid w:val="003C5010"/>
    <w:rsid w:val="003F4F36"/>
    <w:rsid w:val="003F5286"/>
    <w:rsid w:val="00417DBF"/>
    <w:rsid w:val="004329C1"/>
    <w:rsid w:val="00465E05"/>
    <w:rsid w:val="00466210"/>
    <w:rsid w:val="00491E3D"/>
    <w:rsid w:val="00495995"/>
    <w:rsid w:val="004973D6"/>
    <w:rsid w:val="004F00D4"/>
    <w:rsid w:val="004F5089"/>
    <w:rsid w:val="00531626"/>
    <w:rsid w:val="00581731"/>
    <w:rsid w:val="00592DCC"/>
    <w:rsid w:val="0059666E"/>
    <w:rsid w:val="00596BD3"/>
    <w:rsid w:val="005D4BDF"/>
    <w:rsid w:val="005F5940"/>
    <w:rsid w:val="00600202"/>
    <w:rsid w:val="006155B9"/>
    <w:rsid w:val="00652CF0"/>
    <w:rsid w:val="006A745A"/>
    <w:rsid w:val="006C02DD"/>
    <w:rsid w:val="006E4EC0"/>
    <w:rsid w:val="00750948"/>
    <w:rsid w:val="00776EED"/>
    <w:rsid w:val="007C799A"/>
    <w:rsid w:val="007E76BB"/>
    <w:rsid w:val="007F4C5C"/>
    <w:rsid w:val="0081300D"/>
    <w:rsid w:val="008158D1"/>
    <w:rsid w:val="00864D2D"/>
    <w:rsid w:val="008676C8"/>
    <w:rsid w:val="00883BBB"/>
    <w:rsid w:val="0089699A"/>
    <w:rsid w:val="008D11CA"/>
    <w:rsid w:val="008E5CB3"/>
    <w:rsid w:val="008F265A"/>
    <w:rsid w:val="0091631C"/>
    <w:rsid w:val="00927C84"/>
    <w:rsid w:val="00933FE8"/>
    <w:rsid w:val="009808CA"/>
    <w:rsid w:val="00986BA4"/>
    <w:rsid w:val="00993969"/>
    <w:rsid w:val="00997AEE"/>
    <w:rsid w:val="009B7DEA"/>
    <w:rsid w:val="009D692B"/>
    <w:rsid w:val="00A440FB"/>
    <w:rsid w:val="00A475BE"/>
    <w:rsid w:val="00A84728"/>
    <w:rsid w:val="00AA0825"/>
    <w:rsid w:val="00AD665D"/>
    <w:rsid w:val="00AE0D73"/>
    <w:rsid w:val="00B0019F"/>
    <w:rsid w:val="00B0541D"/>
    <w:rsid w:val="00B0643D"/>
    <w:rsid w:val="00B10FA5"/>
    <w:rsid w:val="00B17BE3"/>
    <w:rsid w:val="00B20081"/>
    <w:rsid w:val="00B41D0F"/>
    <w:rsid w:val="00B646D0"/>
    <w:rsid w:val="00B70347"/>
    <w:rsid w:val="00B7745B"/>
    <w:rsid w:val="00B86424"/>
    <w:rsid w:val="00B94CDA"/>
    <w:rsid w:val="00C0193B"/>
    <w:rsid w:val="00C05024"/>
    <w:rsid w:val="00C45FE2"/>
    <w:rsid w:val="00CB3DE5"/>
    <w:rsid w:val="00CC4996"/>
    <w:rsid w:val="00CF6895"/>
    <w:rsid w:val="00D039E8"/>
    <w:rsid w:val="00D26B67"/>
    <w:rsid w:val="00D36BE9"/>
    <w:rsid w:val="00DC2D45"/>
    <w:rsid w:val="00DE2559"/>
    <w:rsid w:val="00E51B11"/>
    <w:rsid w:val="00E91313"/>
    <w:rsid w:val="00ED7BBF"/>
    <w:rsid w:val="00EE290C"/>
    <w:rsid w:val="00F4009E"/>
    <w:rsid w:val="00F6467A"/>
    <w:rsid w:val="00FA3906"/>
    <w:rsid w:val="00FD2F48"/>
    <w:rsid w:val="00FF57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link w:val="Balk1Char"/>
    <w:uiPriority w:val="9"/>
    <w:qFormat/>
    <w:rsid w:val="00750948"/>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1Char">
    <w:name w:val="Başlık 1 Char"/>
    <w:basedOn w:val="VarsaylanParagrafYazTipi"/>
    <w:link w:val="Balk1"/>
    <w:uiPriority w:val="9"/>
    <w:rsid w:val="00750948"/>
    <w:rPr>
      <w:rFonts w:ascii="Times New Roman" w:eastAsia="Times New Roman" w:hAnsi="Times New Roman" w:cs="Times New Roman"/>
      <w:b/>
      <w:bCs/>
      <w:kern w:val="36"/>
      <w:sz w:val="48"/>
      <w:szCs w:val="48"/>
      <w:lang w:eastAsia="tr-TR"/>
    </w:rPr>
  </w:style>
  <w:style w:type="paragraph" w:customStyle="1" w:styleId="mb25">
    <w:name w:val="mb25"/>
    <w:basedOn w:val="Normal"/>
    <w:rsid w:val="0075094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750948"/>
    <w:rPr>
      <w:b/>
      <w:bCs/>
    </w:rPr>
  </w:style>
  <w:style w:type="paragraph" w:styleId="NormalWeb">
    <w:name w:val="Normal (Web)"/>
    <w:basedOn w:val="Normal"/>
    <w:uiPriority w:val="99"/>
    <w:unhideWhenUsed/>
    <w:rsid w:val="00750948"/>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AD665D"/>
  </w:style>
  <w:style w:type="paragraph" w:styleId="ListeParagraf">
    <w:name w:val="List Paragraph"/>
    <w:basedOn w:val="Normal"/>
    <w:uiPriority w:val="34"/>
    <w:qFormat/>
    <w:rsid w:val="00596BD3"/>
    <w:pPr>
      <w:spacing w:after="200" w:line="27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link w:val="Balk1Char"/>
    <w:uiPriority w:val="9"/>
    <w:qFormat/>
    <w:rsid w:val="00750948"/>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1Char">
    <w:name w:val="Başlık 1 Char"/>
    <w:basedOn w:val="VarsaylanParagrafYazTipi"/>
    <w:link w:val="Balk1"/>
    <w:uiPriority w:val="9"/>
    <w:rsid w:val="00750948"/>
    <w:rPr>
      <w:rFonts w:ascii="Times New Roman" w:eastAsia="Times New Roman" w:hAnsi="Times New Roman" w:cs="Times New Roman"/>
      <w:b/>
      <w:bCs/>
      <w:kern w:val="36"/>
      <w:sz w:val="48"/>
      <w:szCs w:val="48"/>
      <w:lang w:eastAsia="tr-TR"/>
    </w:rPr>
  </w:style>
  <w:style w:type="paragraph" w:customStyle="1" w:styleId="mb25">
    <w:name w:val="mb25"/>
    <w:basedOn w:val="Normal"/>
    <w:rsid w:val="0075094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750948"/>
    <w:rPr>
      <w:b/>
      <w:bCs/>
    </w:rPr>
  </w:style>
  <w:style w:type="paragraph" w:styleId="NormalWeb">
    <w:name w:val="Normal (Web)"/>
    <w:basedOn w:val="Normal"/>
    <w:uiPriority w:val="99"/>
    <w:unhideWhenUsed/>
    <w:rsid w:val="00750948"/>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AD665D"/>
  </w:style>
  <w:style w:type="paragraph" w:styleId="ListeParagraf">
    <w:name w:val="List Paragraph"/>
    <w:basedOn w:val="Normal"/>
    <w:uiPriority w:val="34"/>
    <w:qFormat/>
    <w:rsid w:val="00596BD3"/>
    <w:pPr>
      <w:spacing w:after="200" w:line="27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8484875">
      <w:bodyDiv w:val="1"/>
      <w:marLeft w:val="0"/>
      <w:marRight w:val="0"/>
      <w:marTop w:val="0"/>
      <w:marBottom w:val="0"/>
      <w:divBdr>
        <w:top w:val="none" w:sz="0" w:space="0" w:color="auto"/>
        <w:left w:val="none" w:sz="0" w:space="0" w:color="auto"/>
        <w:bottom w:val="none" w:sz="0" w:space="0" w:color="auto"/>
        <w:right w:val="none" w:sz="0" w:space="0" w:color="auto"/>
      </w:divBdr>
    </w:div>
    <w:div w:id="28070747">
      <w:bodyDiv w:val="1"/>
      <w:marLeft w:val="0"/>
      <w:marRight w:val="0"/>
      <w:marTop w:val="0"/>
      <w:marBottom w:val="0"/>
      <w:divBdr>
        <w:top w:val="none" w:sz="0" w:space="0" w:color="auto"/>
        <w:left w:val="none" w:sz="0" w:space="0" w:color="auto"/>
        <w:bottom w:val="none" w:sz="0" w:space="0" w:color="auto"/>
        <w:right w:val="none" w:sz="0" w:space="0" w:color="auto"/>
      </w:divBdr>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107088211">
      <w:bodyDiv w:val="1"/>
      <w:marLeft w:val="0"/>
      <w:marRight w:val="0"/>
      <w:marTop w:val="0"/>
      <w:marBottom w:val="0"/>
      <w:divBdr>
        <w:top w:val="none" w:sz="0" w:space="0" w:color="auto"/>
        <w:left w:val="none" w:sz="0" w:space="0" w:color="auto"/>
        <w:bottom w:val="none" w:sz="0" w:space="0" w:color="auto"/>
        <w:right w:val="none" w:sz="0" w:space="0" w:color="auto"/>
      </w:divBdr>
    </w:div>
    <w:div w:id="153495107">
      <w:bodyDiv w:val="1"/>
      <w:marLeft w:val="0"/>
      <w:marRight w:val="0"/>
      <w:marTop w:val="0"/>
      <w:marBottom w:val="0"/>
      <w:divBdr>
        <w:top w:val="none" w:sz="0" w:space="0" w:color="auto"/>
        <w:left w:val="none" w:sz="0" w:space="0" w:color="auto"/>
        <w:bottom w:val="none" w:sz="0" w:space="0" w:color="auto"/>
        <w:right w:val="none" w:sz="0" w:space="0" w:color="auto"/>
      </w:divBdr>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298538790">
      <w:bodyDiv w:val="1"/>
      <w:marLeft w:val="0"/>
      <w:marRight w:val="0"/>
      <w:marTop w:val="0"/>
      <w:marBottom w:val="0"/>
      <w:divBdr>
        <w:top w:val="none" w:sz="0" w:space="0" w:color="auto"/>
        <w:left w:val="none" w:sz="0" w:space="0" w:color="auto"/>
        <w:bottom w:val="none" w:sz="0" w:space="0" w:color="auto"/>
        <w:right w:val="none" w:sz="0" w:space="0" w:color="auto"/>
      </w:divBdr>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470827840">
      <w:bodyDiv w:val="1"/>
      <w:marLeft w:val="0"/>
      <w:marRight w:val="0"/>
      <w:marTop w:val="0"/>
      <w:marBottom w:val="0"/>
      <w:divBdr>
        <w:top w:val="none" w:sz="0" w:space="0" w:color="auto"/>
        <w:left w:val="none" w:sz="0" w:space="0" w:color="auto"/>
        <w:bottom w:val="none" w:sz="0" w:space="0" w:color="auto"/>
        <w:right w:val="none" w:sz="0" w:space="0" w:color="auto"/>
      </w:divBdr>
    </w:div>
    <w:div w:id="522281761">
      <w:bodyDiv w:val="1"/>
      <w:marLeft w:val="0"/>
      <w:marRight w:val="0"/>
      <w:marTop w:val="0"/>
      <w:marBottom w:val="0"/>
      <w:divBdr>
        <w:top w:val="none" w:sz="0" w:space="0" w:color="auto"/>
        <w:left w:val="none" w:sz="0" w:space="0" w:color="auto"/>
        <w:bottom w:val="none" w:sz="0" w:space="0" w:color="auto"/>
        <w:right w:val="none" w:sz="0" w:space="0" w:color="auto"/>
      </w:divBdr>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95944484">
      <w:bodyDiv w:val="1"/>
      <w:marLeft w:val="0"/>
      <w:marRight w:val="0"/>
      <w:marTop w:val="0"/>
      <w:marBottom w:val="0"/>
      <w:divBdr>
        <w:top w:val="none" w:sz="0" w:space="0" w:color="auto"/>
        <w:left w:val="none" w:sz="0" w:space="0" w:color="auto"/>
        <w:bottom w:val="none" w:sz="0" w:space="0" w:color="auto"/>
        <w:right w:val="none" w:sz="0" w:space="0" w:color="auto"/>
      </w:divBdr>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713310855">
      <w:bodyDiv w:val="1"/>
      <w:marLeft w:val="0"/>
      <w:marRight w:val="0"/>
      <w:marTop w:val="0"/>
      <w:marBottom w:val="0"/>
      <w:divBdr>
        <w:top w:val="none" w:sz="0" w:space="0" w:color="auto"/>
        <w:left w:val="none" w:sz="0" w:space="0" w:color="auto"/>
        <w:bottom w:val="none" w:sz="0" w:space="0" w:color="auto"/>
        <w:right w:val="none" w:sz="0" w:space="0" w:color="auto"/>
      </w:divBdr>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915557896">
      <w:bodyDiv w:val="1"/>
      <w:marLeft w:val="0"/>
      <w:marRight w:val="0"/>
      <w:marTop w:val="0"/>
      <w:marBottom w:val="0"/>
      <w:divBdr>
        <w:top w:val="none" w:sz="0" w:space="0" w:color="auto"/>
        <w:left w:val="none" w:sz="0" w:space="0" w:color="auto"/>
        <w:bottom w:val="none" w:sz="0" w:space="0" w:color="auto"/>
        <w:right w:val="none" w:sz="0" w:space="0" w:color="auto"/>
      </w:divBdr>
    </w:div>
    <w:div w:id="967708280">
      <w:bodyDiv w:val="1"/>
      <w:marLeft w:val="0"/>
      <w:marRight w:val="0"/>
      <w:marTop w:val="0"/>
      <w:marBottom w:val="0"/>
      <w:divBdr>
        <w:top w:val="none" w:sz="0" w:space="0" w:color="auto"/>
        <w:left w:val="none" w:sz="0" w:space="0" w:color="auto"/>
        <w:bottom w:val="none" w:sz="0" w:space="0" w:color="auto"/>
        <w:right w:val="none" w:sz="0" w:space="0" w:color="auto"/>
      </w:divBdr>
    </w:div>
    <w:div w:id="992215822">
      <w:bodyDiv w:val="1"/>
      <w:marLeft w:val="0"/>
      <w:marRight w:val="0"/>
      <w:marTop w:val="0"/>
      <w:marBottom w:val="0"/>
      <w:divBdr>
        <w:top w:val="none" w:sz="0" w:space="0" w:color="auto"/>
        <w:left w:val="none" w:sz="0" w:space="0" w:color="auto"/>
        <w:bottom w:val="none" w:sz="0" w:space="0" w:color="auto"/>
        <w:right w:val="none" w:sz="0" w:space="0" w:color="auto"/>
      </w:divBdr>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68531362">
      <w:bodyDiv w:val="1"/>
      <w:marLeft w:val="0"/>
      <w:marRight w:val="0"/>
      <w:marTop w:val="0"/>
      <w:marBottom w:val="0"/>
      <w:divBdr>
        <w:top w:val="none" w:sz="0" w:space="0" w:color="auto"/>
        <w:left w:val="none" w:sz="0" w:space="0" w:color="auto"/>
        <w:bottom w:val="none" w:sz="0" w:space="0" w:color="auto"/>
        <w:right w:val="none" w:sz="0" w:space="0" w:color="auto"/>
      </w:divBdr>
    </w:div>
    <w:div w:id="1162431695">
      <w:bodyDiv w:val="1"/>
      <w:marLeft w:val="0"/>
      <w:marRight w:val="0"/>
      <w:marTop w:val="0"/>
      <w:marBottom w:val="0"/>
      <w:divBdr>
        <w:top w:val="none" w:sz="0" w:space="0" w:color="auto"/>
        <w:left w:val="none" w:sz="0" w:space="0" w:color="auto"/>
        <w:bottom w:val="none" w:sz="0" w:space="0" w:color="auto"/>
        <w:right w:val="none" w:sz="0" w:space="0" w:color="auto"/>
      </w:divBdr>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76151295">
      <w:bodyDiv w:val="1"/>
      <w:marLeft w:val="0"/>
      <w:marRight w:val="0"/>
      <w:marTop w:val="0"/>
      <w:marBottom w:val="0"/>
      <w:divBdr>
        <w:top w:val="none" w:sz="0" w:space="0" w:color="auto"/>
        <w:left w:val="none" w:sz="0" w:space="0" w:color="auto"/>
        <w:bottom w:val="none" w:sz="0" w:space="0" w:color="auto"/>
        <w:right w:val="none" w:sz="0" w:space="0" w:color="auto"/>
      </w:divBdr>
    </w:div>
    <w:div w:id="1392852187">
      <w:bodyDiv w:val="1"/>
      <w:marLeft w:val="0"/>
      <w:marRight w:val="0"/>
      <w:marTop w:val="0"/>
      <w:marBottom w:val="0"/>
      <w:divBdr>
        <w:top w:val="none" w:sz="0" w:space="0" w:color="auto"/>
        <w:left w:val="none" w:sz="0" w:space="0" w:color="auto"/>
        <w:bottom w:val="none" w:sz="0" w:space="0" w:color="auto"/>
        <w:right w:val="none" w:sz="0" w:space="0" w:color="auto"/>
      </w:divBdr>
    </w:div>
    <w:div w:id="1430541969">
      <w:bodyDiv w:val="1"/>
      <w:marLeft w:val="0"/>
      <w:marRight w:val="0"/>
      <w:marTop w:val="0"/>
      <w:marBottom w:val="0"/>
      <w:divBdr>
        <w:top w:val="none" w:sz="0" w:space="0" w:color="auto"/>
        <w:left w:val="none" w:sz="0" w:space="0" w:color="auto"/>
        <w:bottom w:val="none" w:sz="0" w:space="0" w:color="auto"/>
        <w:right w:val="none" w:sz="0" w:space="0" w:color="auto"/>
      </w:divBdr>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577472428">
      <w:bodyDiv w:val="1"/>
      <w:marLeft w:val="0"/>
      <w:marRight w:val="0"/>
      <w:marTop w:val="0"/>
      <w:marBottom w:val="0"/>
      <w:divBdr>
        <w:top w:val="none" w:sz="0" w:space="0" w:color="auto"/>
        <w:left w:val="none" w:sz="0" w:space="0" w:color="auto"/>
        <w:bottom w:val="none" w:sz="0" w:space="0" w:color="auto"/>
        <w:right w:val="none" w:sz="0" w:space="0" w:color="auto"/>
      </w:divBdr>
    </w:div>
    <w:div w:id="1589195793">
      <w:bodyDiv w:val="1"/>
      <w:marLeft w:val="0"/>
      <w:marRight w:val="0"/>
      <w:marTop w:val="0"/>
      <w:marBottom w:val="0"/>
      <w:divBdr>
        <w:top w:val="none" w:sz="0" w:space="0" w:color="auto"/>
        <w:left w:val="none" w:sz="0" w:space="0" w:color="auto"/>
        <w:bottom w:val="none" w:sz="0" w:space="0" w:color="auto"/>
        <w:right w:val="none" w:sz="0" w:space="0" w:color="auto"/>
      </w:divBdr>
    </w:div>
    <w:div w:id="1631856962">
      <w:bodyDiv w:val="1"/>
      <w:marLeft w:val="0"/>
      <w:marRight w:val="0"/>
      <w:marTop w:val="0"/>
      <w:marBottom w:val="0"/>
      <w:divBdr>
        <w:top w:val="none" w:sz="0" w:space="0" w:color="auto"/>
        <w:left w:val="none" w:sz="0" w:space="0" w:color="auto"/>
        <w:bottom w:val="none" w:sz="0" w:space="0" w:color="auto"/>
        <w:right w:val="none" w:sz="0" w:space="0" w:color="auto"/>
      </w:divBdr>
    </w:div>
    <w:div w:id="1649744601">
      <w:bodyDiv w:val="1"/>
      <w:marLeft w:val="0"/>
      <w:marRight w:val="0"/>
      <w:marTop w:val="0"/>
      <w:marBottom w:val="0"/>
      <w:divBdr>
        <w:top w:val="none" w:sz="0" w:space="0" w:color="auto"/>
        <w:left w:val="none" w:sz="0" w:space="0" w:color="auto"/>
        <w:bottom w:val="none" w:sz="0" w:space="0" w:color="auto"/>
        <w:right w:val="none" w:sz="0" w:space="0" w:color="auto"/>
      </w:divBdr>
    </w:div>
    <w:div w:id="1686587792">
      <w:bodyDiv w:val="1"/>
      <w:marLeft w:val="0"/>
      <w:marRight w:val="0"/>
      <w:marTop w:val="0"/>
      <w:marBottom w:val="0"/>
      <w:divBdr>
        <w:top w:val="none" w:sz="0" w:space="0" w:color="auto"/>
        <w:left w:val="none" w:sz="0" w:space="0" w:color="auto"/>
        <w:bottom w:val="none" w:sz="0" w:space="0" w:color="auto"/>
        <w:right w:val="none" w:sz="0" w:space="0" w:color="auto"/>
      </w:divBdr>
    </w:div>
    <w:div w:id="1709380519">
      <w:bodyDiv w:val="1"/>
      <w:marLeft w:val="0"/>
      <w:marRight w:val="0"/>
      <w:marTop w:val="0"/>
      <w:marBottom w:val="0"/>
      <w:divBdr>
        <w:top w:val="none" w:sz="0" w:space="0" w:color="auto"/>
        <w:left w:val="none" w:sz="0" w:space="0" w:color="auto"/>
        <w:bottom w:val="none" w:sz="0" w:space="0" w:color="auto"/>
        <w:right w:val="none" w:sz="0" w:space="0" w:color="auto"/>
      </w:divBdr>
    </w:div>
    <w:div w:id="1785689522">
      <w:bodyDiv w:val="1"/>
      <w:marLeft w:val="0"/>
      <w:marRight w:val="0"/>
      <w:marTop w:val="0"/>
      <w:marBottom w:val="0"/>
      <w:divBdr>
        <w:top w:val="none" w:sz="0" w:space="0" w:color="auto"/>
        <w:left w:val="none" w:sz="0" w:space="0" w:color="auto"/>
        <w:bottom w:val="none" w:sz="0" w:space="0" w:color="auto"/>
        <w:right w:val="none" w:sz="0" w:space="0" w:color="auto"/>
      </w:divBdr>
    </w:div>
    <w:div w:id="1801072377">
      <w:bodyDiv w:val="1"/>
      <w:marLeft w:val="0"/>
      <w:marRight w:val="0"/>
      <w:marTop w:val="0"/>
      <w:marBottom w:val="0"/>
      <w:divBdr>
        <w:top w:val="none" w:sz="0" w:space="0" w:color="auto"/>
        <w:left w:val="none" w:sz="0" w:space="0" w:color="auto"/>
        <w:bottom w:val="none" w:sz="0" w:space="0" w:color="auto"/>
        <w:right w:val="none" w:sz="0" w:space="0" w:color="auto"/>
      </w:divBdr>
    </w:div>
    <w:div w:id="1836408744">
      <w:bodyDiv w:val="1"/>
      <w:marLeft w:val="0"/>
      <w:marRight w:val="0"/>
      <w:marTop w:val="0"/>
      <w:marBottom w:val="0"/>
      <w:divBdr>
        <w:top w:val="none" w:sz="0" w:space="0" w:color="auto"/>
        <w:left w:val="none" w:sz="0" w:space="0" w:color="auto"/>
        <w:bottom w:val="none" w:sz="0" w:space="0" w:color="auto"/>
        <w:right w:val="none" w:sz="0" w:space="0" w:color="auto"/>
      </w:divBdr>
    </w:div>
    <w:div w:id="1904901859">
      <w:bodyDiv w:val="1"/>
      <w:marLeft w:val="0"/>
      <w:marRight w:val="0"/>
      <w:marTop w:val="0"/>
      <w:marBottom w:val="0"/>
      <w:divBdr>
        <w:top w:val="none" w:sz="0" w:space="0" w:color="auto"/>
        <w:left w:val="none" w:sz="0" w:space="0" w:color="auto"/>
        <w:bottom w:val="none" w:sz="0" w:space="0" w:color="auto"/>
        <w:right w:val="none" w:sz="0" w:space="0" w:color="auto"/>
      </w:divBdr>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04701006">
      <w:bodyDiv w:val="1"/>
      <w:marLeft w:val="0"/>
      <w:marRight w:val="0"/>
      <w:marTop w:val="0"/>
      <w:marBottom w:val="0"/>
      <w:divBdr>
        <w:top w:val="none" w:sz="0" w:space="0" w:color="auto"/>
        <w:left w:val="none" w:sz="0" w:space="0" w:color="auto"/>
        <w:bottom w:val="none" w:sz="0" w:space="0" w:color="auto"/>
        <w:right w:val="none" w:sz="0" w:space="0" w:color="auto"/>
      </w:divBdr>
    </w:div>
    <w:div w:id="2042782896">
      <w:bodyDiv w:val="1"/>
      <w:marLeft w:val="0"/>
      <w:marRight w:val="0"/>
      <w:marTop w:val="0"/>
      <w:marBottom w:val="0"/>
      <w:divBdr>
        <w:top w:val="none" w:sz="0" w:space="0" w:color="auto"/>
        <w:left w:val="none" w:sz="0" w:space="0" w:color="auto"/>
        <w:bottom w:val="none" w:sz="0" w:space="0" w:color="auto"/>
        <w:right w:val="none" w:sz="0" w:space="0" w:color="auto"/>
      </w:divBdr>
    </w:div>
    <w:div w:id="2101561166">
      <w:bodyDiv w:val="1"/>
      <w:marLeft w:val="0"/>
      <w:marRight w:val="0"/>
      <w:marTop w:val="0"/>
      <w:marBottom w:val="0"/>
      <w:divBdr>
        <w:top w:val="none" w:sz="0" w:space="0" w:color="auto"/>
        <w:left w:val="none" w:sz="0" w:space="0" w:color="auto"/>
        <w:bottom w:val="none" w:sz="0" w:space="0" w:color="auto"/>
        <w:right w:val="none" w:sz="0" w:space="0" w:color="auto"/>
      </w:divBdr>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631</Words>
  <Characters>3598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ASUS</cp:lastModifiedBy>
  <cp:revision>2</cp:revision>
  <cp:lastPrinted>2016-12-09T06:04:00Z</cp:lastPrinted>
  <dcterms:created xsi:type="dcterms:W3CDTF">2017-01-16T09:02:00Z</dcterms:created>
  <dcterms:modified xsi:type="dcterms:W3CDTF">2017-01-16T09:02:00Z</dcterms:modified>
</cp:coreProperties>
</file>